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85</w:t>
      </w:r>
    </w:p>
    <w:p>
      <w:r>
        <w:t>Bundesgericht (BGE), 1973-05-24, FR</w:t>
      </w:r>
    </w:p>
    <w:p>
      <w:r>
        <w:rPr>
          <w:b/>
        </w:rPr>
        <w:t xml:space="preserve">Quelle: </w:t>
      </w:r>
      <w:r>
        <w:t>https://mcp.opencaselaw.ch/entscheid/bge_99 II 85</w:t>
      </w:r>
    </w:p>
    <w:p>
      <w:r>
        <w:t>FR: ATF 99 II 85</w:t>
      </w:r>
    </w:p>
    <w:p>
      <w:r>
        <w:t>IT: DTF 99 II 85</w:t>
      </w:r>
    </w:p>
    <w:p>
      <w:pPr>
        <w:pStyle w:val="Heading2"/>
      </w:pPr>
      <w:r>
        <w:t>Regeste</w:t>
      </w:r>
    </w:p>
    <w:p>
      <w:r>
        <w:t>Regeste Art. 33 und 14 VVG. 1. Die von der Versicherung ausgeschlossenen Ereignisse sind in den allgemeinen Vertragsbestimmungen genau und unzweideutig zu bezeichnen. Unter Vorbehalt einer gegenteiligen Abmachung habendie Umstände, unter denen ein Schadensereignis eintritt, keinen Einfluss auf die Deckung der Gefahr. Wenig klare Bestimmungen von Verträgen, die auf Grund eines zum voraus erstellten Formulars abgeschlossen werden, sind gegen die Partei auszulegen, welche sie abgefasst hat (Erw. 2-4). 2. Ein voraussehbares, ja sicher eintretendes Ereignis kann Gegenstand eines Versicherungsvertrags sein, sofern sein Datum nicht bekannt ist. 3. Wenn der Versicherungsnehmer das Schadenereignis unter Zwang herbeiführt, kann ihm nicht vorgeworfen werden, er habe es absichtlich oder grobfahrlässig verursacht.</w:t>
      </w:r>
    </w:p>
    <w:p>
      <w:pPr>
        <w:pStyle w:val="Heading2"/>
      </w:pPr>
      <w:r>
        <w:t>Erwägungen</w:t>
      </w:r>
    </w:p>
    <w:p>
      <w:r>
        <w:rPr>
          <w:b/>
        </w:rPr>
        <w:t>E. 1</w:t>
      </w:r>
    </w:p>
    <w:p>
      <w:r>
        <w:t>Les parties admettent que le directeur de la banque a été attaqué et qu'il a agi, à son domicile privé, en tant qu'organe de l'assurée; que c'est donc bien cette dernière, partie au contrat d'assurance, qui a subi le dommage. Elles reconnaissent toutes deux que la question de la qualification pénale de l'acte dont la banque, respectivement son organe, a été victime, ne joue pas de rôle. Il n'est dès lors pas nécessaire d'examiner si le détroussement, notion du droit des assurances, recouvre aussi bien le brigandage que l'extorsion BGE 99 II 85 S. 89 et si le directeur de l'intimée a été victime de l'un ou l'autre de ces crimes. Le dommage n'étant survenu ni à l'intérieur des locaux de la banque, ni à ses guichets, seul demeure litigieux le point de savoir si le sinistre, vu l'ensemble des circonstances, présente les caractères d'un détroussement d'agent de caisse.</w:t>
      </w:r>
    </w:p>
    <w:p>
      <w:r>
        <w:rPr>
          <w:b/>
        </w:rPr>
        <w:t>E. 2</w:t>
      </w:r>
    </w:p>
    <w:p>
      <w:r>
        <w:t>Au sens de l'art. 33 LCA, l'assureur répond de tous les événements qui présentent le caractère du risque contre les conséquences duquel l'assurance a été conclue, à moins que le contrat n'exclue certains événements d'une manière précise non équivoque. La recourante reproche à la Cour cantonale d'avoir violé cette disposition en isolant l'agression perpétrée contre le fondé de pouvoir Scherrer de l'extorsion dont a été victime son directeur. Il ne s'agirait pas là d'un acte distinct, susceptible d'être défini comme le détroussement d'un agent de caisse pendant le transport de fonds. Ce serait bien plutôt l'extorsion - événement non couvert par la police - qui aurait été la cause du dommage, l'attaque du transporteur ne constituant qu'un acte d'exécution, la phase finale de l'ensemble de l'opération.</w:t>
      </w:r>
    </w:p>
    <w:p>
      <w:r>
        <w:rPr>
          <w:b/>
        </w:rPr>
        <w:t>E. 3</w:t>
      </w:r>
    </w:p>
    <w:p>
      <w:r>
        <w:t>Le contrat d'assurance conclu entre les parties prévoit la couverture du détroussement des agents de caisse, soit des employés de la banque pendant les courses qu'ils effectuent pour elle en Suisse et dans la Principauté du Liechtenstein; l'hypothèse envisagée dans ce cas est donc le risque spécifique d'un vol durant un transport de fonds. Les conditions générales pour l'assurance des banques contre le vol, annexées à la police, considèrent comme détroussement le vol commis par actes ou menaces de violence contre une personne, ou perpétré à la faveur de l'incapacité de résister consécutive à un décès, un évanouissement, un accident ou un malaise soudain. Il y a également détroussement lorsque l'agresseur commet les actes de violence après s'être emparé de la chose, ou bien lorsqu'après avoir commis ces actes, il ne s'empare pas luimême de la chose, mais se la fait remettre par celui qu'il a molesté (SUTER, Die allgemeinen Bedingungen der Einbruchdiebstahlversicherung, p. 43). De ce point de vue, le fondé de pouvoir Scherrer a été victime d'un détroussement. En effet, il a été dépouillé, sous la menace BGE 99 II 85 S. 90 d'armes, de l'argent qu'il avait été chargé par son directeur d'apporter au domicile privé de celui-ci. De plus, employé de la banque, il a été attaqué lors d'un transport d'argent. On ne saurait suivre la société recourante lorsqu'elle prétend que le détroussement doit être replacé dans son contexte, le sinistre n'étant couvert que dans la mesure où le vol n'a pas un caractère spécifique, autrement dit lorsqu'il n'est pas l'élément d'exécution d'une autre infraction. En effet, le détroussement est considéré pour lui-même, dans la police, soit sans allusion aux motifs du transport d'argent. Les circonstances qui ont provoqué le sinistre n'ont pas été envisagées par les parties lors de la conclusion du contrat et celles-ci n'ont pas prévu qu'elles devaient jouer un rôle quant à la couverture du risque. Il n'y a donc pas de raison de faire une liaison entre le détroussement - effectivement réalisé - et les opérations qui ont précédé le vol ou qui sont à son origine, même si elles sont constitutives d'un délit. Dès le moment où le détroussement était nettement défini, il devait être considéré comme couvert, en application de l'art. 33 LCA, à moins que les circonstances dans lesquelles le sinistre s'est produit ne permettent de conclure à l'existence d'une cause d'exclusion clairement précisée. Toute autre solution conduirait à permettre, par l'interprétation des conditions générales d'une police d'assurance, d'ajouter aux cas d'exclusion prévus par les parties des cas nouveaux, qui n'avaient initialement pas été envisagés; cela serait contraire aux règles d'interprétation applicables aux contrats d'adhésion et plus particulièrement au principe dit de la confiance, duquel la jurisprudence a déduit qu'en matière de contrats conclus sur la base d'une formule préparée d'avance par l'un des contractants, les clauses peu claires doivent être interprétées contre la partie qui les a rédigées (RO 92 II 348 et les arrêts cités; 97 II 74 consid. 3).</w:t>
      </w:r>
    </w:p>
    <w:p>
      <w:r>
        <w:rPr>
          <w:b/>
        </w:rPr>
        <w:t>E. 4</w:t>
      </w:r>
    </w:p>
    <w:p>
      <w:r>
        <w:t>La recourante voudrait encore se libérer de son obligation en faisant valoir que l'assurée savait que le dommage allait survenir; bien plus, qu'elle l'a provoqué; que dès lors celui-ci ne présentait plus le caractère de hasard, ou de risque, en vue duquel l'assurance avait été conclue. Selon elle, le directeur de l'intimée n'ignorait pas - et ne pouvait ignorer - au moment où il a ordonné le transport des fonds, que, dans le cours normal des choses, le transporteur allait être détroussé. L'analyse du texte légal suffit à démontrer l'inanité de cette BGE 99 II 85 S. 91 argumentation. En effet, pour que l'assureur ne soit pas lié par le contrat, il faut que le preneur ou l'ayant droit ait causé le sinistre intentionnellement (art. 14 LCA), que l'on puisse lui reprocher une réticence (art. 6 LCA), ou que la date de survenance de l'événement assuré soit connue au moment de la conclusion du contrat. Or tel n'est pas le cas en l'espèce. Le droit des assurances ne connaît plus le principe selon lequel la responsabilité de l'assureur n'est engagée que si l'événement contre les conséquences duquel l'assurance a été conclue se réalise d'une manière fortuite (cf. KÖNIG, Schweiz. Privatversicherungsrecht, 3e éd. p. 161 et 293). Il suffit, pour que l'obligation de payer subsiste, que lors de la conclusion du contrat, l'événement soit incertain quant au moment de sa survenance. Il en est ainsi des assurances-vie (dans la mesure en tout cas où il ne s'agit pas d'assurances de risque pur) où le décès inéluctable du preneur n'empêche pas la conclusion du contrat (KÖNIG, op.cit. p. 161). Or le détroussement du fondé de pouvoir Scherrer n'est devenu prévisible qu'après la conclusion du contrat. Il n'est pas non plus possible de reprocher une réticence à la banque; au moment de la conclusion du contrat, elle n'a caché aucun élément d'appréciation important à la recourante. Enfin, si le directeur de l'intimée a été, dans une certaine mesure, l'instrument du sinistre, on ne peut lui faire le grief de l'avoir causé intentionnellement. En effet, le contrat d'assurance couvrait, entre autres, le risque de détroussement, qui est caractérisé par les menaces exercées sur le preneur - ou son ayant droit - et par la crainte inspirée à celui-ci, dans l'intention de s'emparer d'une chose déterminée. Par définition, le contrat vise l'hypothèse où le preneur, dont la volonté subit une contrainte, devient l'instrument du sinistre et sait que le risque va se réaliser. On relève d'ailleurs que dans certains cas, la responsabilité de l'assureur peut demeurer entière, alors même que le preneur a provoqué le sinistre, lorsque par exemple il a accompli un acte de dévouement (art. 15 LCA). La recourante ne saurait davantage fonder son refus sur une faute du directeur de la banque. En effet, cela supposerait que celui-ci ait eu le pouvoir et le devoir d'empêcher le résultat dommageable de se produire. Or les circonstances dans lesquelles le sinistre s'est déroulé permettent de penser que l'organe BGE 99 II 85 S. 92 de la banque n'a pas eu la faculté de s'opposer au transport des fonds. De toute manière, seule une faute grave du preneur autorise l'assureur à réduire sa prestation (art. 14 al. 2 et 4 LCA). Or le directeur de l'intimée n'a pas commis une telle faute.</w:t>
      </w:r>
    </w:p>
    <w:p>
      <w:r>
        <w:rPr>
          <w:b/>
        </w:rPr>
        <w:t>E. 5</w:t>
      </w:r>
    </w:p>
    <w:p>
      <w:r>
        <w:t>La recourante fait valoir subsidiairement que l'intimée n'était assurée que pour des transports d'un montant de cinq cents mille francs, alors que la somme transportée était de plus d'un million; on se trouverait de ce fait dans un cas de sousassurance, si bien que la réparation du dommage serait limitée à la proportion existant entre la somme assurée et la valeur de remplacement (art. 69 LCA). Il s'agit là d'un moyen nouveau, partant irrecevable dans la procédure du recours en réforme (art. 55 al. 1 lit. c OJ).</w:t>
      </w:r>
    </w:p>
    <w:p>
      <w:r>
        <w:rPr>
          <w:b/>
        </w:rPr>
        <w:t>E. 6</w:t>
      </w:r>
    </w:p>
    <w:p>
      <w:r>
        <w:t>Enfin, la recourante prétend que des mesures de sécurité particulières auraient dû être prises par la banque lors du transport de l'argent. En effet, le fondé de pouvoir Scherrer s'est fait accompagner en voiture par un employé de la banque. Il n'a pas pris d'autres précautions. Or les conditions générales d'assurance stipulent que lorsque les fonds transportés dépassent cinq cents mille francs, l'agent doit être accompagné d'une autre personne; audessus d'un million, des mesures de sécurité complémentaires doivent être prises. La recourante s'estime dès lors fondée à refuser ou à réduire ses prestations. Contrairement à l'opinion de l'autorité cantonale, le fait que la somme assurée était limitée à cinq cents mille francs ne libérait pas le preneur de l'obligation de prendre des mesures de sécurité particulières lors de transport de fonds dépassant ce montant. En effet, le risque d'agression est, dans une large mesure, fonction de l'importance de la somme transportée. Il y a donc lieu de renvoyer la cause à la Cour cantonale pour qu'elle se prononce sur le point de savoir si des mesures complémentaires auraient dû être prises par le preneur d'assurance eu égard à la somme transportée et, le cas échéant, quelle aurait été leur incidence sur le déroulement des événements.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